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51" w:rsidRPr="00FA0579" w:rsidRDefault="00225CD4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BILAGA </w:t>
      </w:r>
      <w:r w:rsidR="00A61697">
        <w:rPr>
          <w:rFonts w:ascii="Arial" w:hAnsi="Arial" w:cs="Arial"/>
          <w:b/>
        </w:rPr>
        <w:t xml:space="preserve">SLUTANVÄNDARKONTROLL </w:t>
      </w:r>
      <w:r>
        <w:rPr>
          <w:rFonts w:ascii="Arial" w:hAnsi="Arial" w:cs="Arial"/>
          <w:b/>
        </w:rPr>
        <w:t>SANKTIONERAT LAND</w:t>
      </w:r>
      <w:r>
        <w:rPr>
          <w:rFonts w:ascii="Arial" w:hAnsi="Arial" w:cs="Arial"/>
          <w:b/>
        </w:rPr>
        <w:br/>
      </w:r>
      <w:bookmarkStart w:id="0" w:name="_GoBack"/>
      <w:r w:rsidR="00D75151" w:rsidRPr="009529F9">
        <w:rPr>
          <w:rFonts w:ascii="Arial" w:hAnsi="Arial" w:cs="Arial"/>
        </w:rPr>
        <w:t>EXPORT AV PRODUKTER</w:t>
      </w:r>
      <w:r w:rsidRPr="009529F9">
        <w:rPr>
          <w:rFonts w:ascii="Arial" w:hAnsi="Arial" w:cs="Arial"/>
        </w:rPr>
        <w:t xml:space="preserve"> </w:t>
      </w:r>
      <w:r w:rsidR="00D75151" w:rsidRPr="009529F9">
        <w:rPr>
          <w:rFonts w:ascii="Arial" w:hAnsi="Arial" w:cs="Arial"/>
        </w:rPr>
        <w:t>MED DUBBLA ANVÄNDNINGSOMRÅDEN</w:t>
      </w:r>
      <w:bookmarkEnd w:id="0"/>
    </w:p>
    <w:p w:rsidR="00D75151" w:rsidRPr="00FA0579" w:rsidRDefault="00225CD4">
      <w:pPr>
        <w:pStyle w:val="Rubrik2"/>
        <w:rPr>
          <w:rFonts w:ascii="Arial" w:hAnsi="Arial" w:cs="Arial"/>
        </w:rPr>
      </w:pPr>
      <w:r>
        <w:rPr>
          <w:rFonts w:ascii="Arial" w:hAnsi="Arial" w:cs="Arial"/>
        </w:rPr>
        <w:t>EUROPEISKA GEMENSKAPEN</w:t>
      </w:r>
    </w:p>
    <w:tbl>
      <w:tblPr>
        <w:tblW w:w="10773" w:type="dxa"/>
        <w:tblInd w:w="-497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4968"/>
        <w:gridCol w:w="5386"/>
      </w:tblGrid>
      <w:tr w:rsidR="007947C3" w:rsidRPr="00FA0579" w:rsidTr="00953068">
        <w:trPr>
          <w:cantSplit/>
          <w:trHeight w:val="40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47C3" w:rsidRPr="00FA0579" w:rsidRDefault="007947C3">
            <w:pPr>
              <w:rPr>
                <w:rFonts w:ascii="Arial" w:hAnsi="Arial" w:cs="Arial"/>
              </w:rPr>
            </w:pPr>
          </w:p>
          <w:p w:rsidR="007947C3" w:rsidRPr="00FA0579" w:rsidRDefault="007947C3">
            <w:pPr>
              <w:rPr>
                <w:rFonts w:ascii="Arial" w:hAnsi="Arial" w:cs="Arial"/>
              </w:rPr>
            </w:pPr>
            <w:r w:rsidRPr="00FA0579">
              <w:rPr>
                <w:rFonts w:ascii="Arial" w:hAnsi="Arial" w:cs="Arial"/>
              </w:rPr>
              <w:t xml:space="preserve"> </w:t>
            </w:r>
            <w:r w:rsidRPr="00FA0579">
              <w:rPr>
                <w:rFonts w:ascii="Arial" w:hAnsi="Arial" w:cs="Arial"/>
                <w:b/>
                <w:sz w:val="28"/>
              </w:rPr>
              <w:t>0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7C3" w:rsidRPr="00FA0579" w:rsidRDefault="007947C3" w:rsidP="007947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Exportör 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47C3" w:rsidRPr="00FA0579" w:rsidRDefault="007947C3" w:rsidP="004F3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Ifylles om ansökan avser</w:t>
            </w:r>
            <w:r w:rsidRPr="00A12DD0">
              <w:rPr>
                <w:rFonts w:ascii="Arial" w:hAnsi="Arial" w:cs="Arial"/>
                <w:sz w:val="22"/>
                <w:szCs w:val="22"/>
              </w:rPr>
              <w:t xml:space="preserve"> export till</w:t>
            </w:r>
            <w:r w:rsidR="004F303B">
              <w:rPr>
                <w:rFonts w:ascii="Arial" w:hAnsi="Arial" w:cs="Arial"/>
                <w:sz w:val="22"/>
                <w:szCs w:val="22"/>
              </w:rPr>
              <w:t xml:space="preserve"> sanktionerat land</w:t>
            </w:r>
            <w:r w:rsidRPr="00A12DD0">
              <w:rPr>
                <w:rFonts w:ascii="Arial" w:hAnsi="Arial" w:cs="Arial"/>
                <w:sz w:val="22"/>
                <w:szCs w:val="22"/>
              </w:rPr>
              <w:t>. Utgå från kriterier i EU:s Best Practices som finns att ladda ner på ISP:s webbplats.</w:t>
            </w:r>
          </w:p>
        </w:tc>
      </w:tr>
      <w:tr w:rsidR="007947C3" w:rsidRPr="00FA0579" w:rsidTr="007947C3">
        <w:trPr>
          <w:cantSplit/>
          <w:trHeight w:val="467"/>
        </w:trPr>
        <w:tc>
          <w:tcPr>
            <w:tcW w:w="419" w:type="dxa"/>
            <w:tcBorders>
              <w:left w:val="single" w:sz="6" w:space="0" w:color="auto"/>
              <w:bottom w:val="nil"/>
            </w:tcBorders>
          </w:tcPr>
          <w:p w:rsidR="007947C3" w:rsidRPr="00FA0579" w:rsidRDefault="007947C3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7C3" w:rsidRPr="00FA0579" w:rsidRDefault="007947C3" w:rsidP="00953068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7947C3" w:rsidRPr="00FA0579" w:rsidRDefault="007947C3">
            <w:pPr>
              <w:rPr>
                <w:rFonts w:ascii="Arial" w:hAnsi="Arial" w:cs="Arial"/>
              </w:rPr>
            </w:pPr>
          </w:p>
        </w:tc>
      </w:tr>
      <w:tr w:rsidR="002B7629" w:rsidRPr="00FA0579" w:rsidTr="00A12DD0">
        <w:trPr>
          <w:cantSplit/>
          <w:trHeight w:val="568"/>
        </w:trPr>
        <w:tc>
          <w:tcPr>
            <w:tcW w:w="419" w:type="dxa"/>
            <w:vMerge w:val="restart"/>
            <w:tcBorders>
              <w:left w:val="single" w:sz="4" w:space="0" w:color="auto"/>
            </w:tcBorders>
          </w:tcPr>
          <w:p w:rsidR="002B7629" w:rsidRPr="00FA0579" w:rsidRDefault="002B7629" w:rsidP="00C40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  <w:p w:rsidR="002B7629" w:rsidRPr="00FA0579" w:rsidRDefault="002B7629" w:rsidP="00C40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  <w:p w:rsidR="002B7629" w:rsidRPr="00FA0579" w:rsidRDefault="002B7629" w:rsidP="00C40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  <w:p w:rsidR="002B7629" w:rsidRPr="00FA0579" w:rsidRDefault="002B7629" w:rsidP="00C40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:rsidR="002B7629" w:rsidRPr="00FA0579" w:rsidRDefault="002B7629" w:rsidP="00C401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  <w:p w:rsidR="008B0CF9" w:rsidRPr="00615B76" w:rsidRDefault="002B7629" w:rsidP="00DF33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057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D0" w:rsidRDefault="00A12DD0" w:rsidP="00A12DD0">
            <w:pPr>
              <w:pStyle w:val="Allmntstyckeforma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Mottagaren eller slutanvändaren ägs till 50 % eller mer av en sanktionerad entitet. Bedöm enligt </w:t>
            </w:r>
            <w:r w:rsidR="004F303B">
              <w:rPr>
                <w:rFonts w:ascii="Arial" w:hAnsi="Arial" w:cs="Arial"/>
                <w:sz w:val="16"/>
                <w:szCs w:val="16"/>
              </w:rPr>
              <w:t>EU:s Best Practices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12DD0" w:rsidRPr="00FA0579" w:rsidRDefault="00A12DD0" w:rsidP="00A12DD0">
            <w:pPr>
              <w:pStyle w:val="Allmntstyckeform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JA/NEJ</w:t>
            </w:r>
          </w:p>
        </w:tc>
      </w:tr>
      <w:tr w:rsidR="00A12DD0" w:rsidRPr="00FA0579" w:rsidTr="00A12DD0">
        <w:trPr>
          <w:cantSplit/>
          <w:trHeight w:val="508"/>
        </w:trPr>
        <w:tc>
          <w:tcPr>
            <w:tcW w:w="419" w:type="dxa"/>
            <w:vMerge/>
            <w:tcBorders>
              <w:left w:val="single" w:sz="4" w:space="0" w:color="auto"/>
            </w:tcBorders>
          </w:tcPr>
          <w:p w:rsidR="00A12DD0" w:rsidRPr="00FA0579" w:rsidRDefault="00A12DD0">
            <w:pPr>
              <w:rPr>
                <w:rFonts w:ascii="Arial" w:hAnsi="Arial" w:cs="Arial"/>
              </w:rPr>
            </w:pPr>
          </w:p>
        </w:tc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DD0" w:rsidRDefault="00A12DD0" w:rsidP="00A12DD0">
            <w:pPr>
              <w:pStyle w:val="Allmntstyckeforma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Mottagaren eller slutanvändaren är kontrollerad av en sanktionerad entitet. Bedöm enligt </w:t>
            </w:r>
            <w:r w:rsidR="004F303B">
              <w:rPr>
                <w:rFonts w:ascii="Arial" w:hAnsi="Arial" w:cs="Arial"/>
                <w:sz w:val="16"/>
                <w:szCs w:val="16"/>
              </w:rPr>
              <w:t>EU:s Best Practices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12DD0" w:rsidRPr="00A12DD0" w:rsidRDefault="00A12DD0" w:rsidP="00A12DD0">
            <w:pPr>
              <w:pStyle w:val="Allmntstyckeformat"/>
              <w:rPr>
                <w:rFonts w:ascii="Arial" w:hAnsi="Arial" w:cs="Arial"/>
              </w:rPr>
            </w:pPr>
            <w:r w:rsidRPr="00A12DD0">
              <w:rPr>
                <w:rFonts w:ascii="Arial" w:hAnsi="Arial" w:cs="Arial"/>
              </w:rPr>
              <w:t>JA/NEJ</w:t>
            </w:r>
          </w:p>
        </w:tc>
      </w:tr>
      <w:tr w:rsidR="002B7629" w:rsidRPr="00FA0579" w:rsidTr="00E848D2">
        <w:trPr>
          <w:cantSplit/>
          <w:trHeight w:val="490"/>
        </w:trPr>
        <w:tc>
          <w:tcPr>
            <w:tcW w:w="419" w:type="dxa"/>
            <w:vMerge/>
            <w:tcBorders>
              <w:left w:val="single" w:sz="4" w:space="0" w:color="auto"/>
            </w:tcBorders>
          </w:tcPr>
          <w:p w:rsidR="002B7629" w:rsidRPr="00FA0579" w:rsidRDefault="002B7629">
            <w:pPr>
              <w:rPr>
                <w:rFonts w:ascii="Arial" w:hAnsi="Arial" w:cs="Arial"/>
              </w:rPr>
            </w:pPr>
          </w:p>
        </w:tc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DD0" w:rsidRPr="00E848D2" w:rsidRDefault="00A12DD0" w:rsidP="00345DDF">
            <w:pPr>
              <w:pStyle w:val="Allmntstyckeformat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E848D2">
              <w:rPr>
                <w:rFonts w:ascii="Arial" w:hAnsi="Arial" w:cs="Arial"/>
                <w:sz w:val="16"/>
                <w:szCs w:val="16"/>
              </w:rPr>
              <w:t xml:space="preserve">Om något av ovanstående alternativ </w:t>
            </w:r>
            <w:r w:rsidR="00947EAD" w:rsidRPr="00E848D2">
              <w:rPr>
                <w:rFonts w:ascii="Arial" w:hAnsi="Arial" w:cs="Arial"/>
                <w:sz w:val="16"/>
                <w:szCs w:val="16"/>
              </w:rPr>
              <w:t>har besvarat</w:t>
            </w:r>
            <w:r w:rsidR="00E848D2">
              <w:rPr>
                <w:rFonts w:ascii="Arial" w:hAnsi="Arial" w:cs="Arial"/>
                <w:sz w:val="16"/>
                <w:szCs w:val="16"/>
              </w:rPr>
              <w:t>s</w:t>
            </w:r>
            <w:r w:rsidR="00947EAD" w:rsidRPr="00E848D2">
              <w:rPr>
                <w:rFonts w:ascii="Arial" w:hAnsi="Arial" w:cs="Arial"/>
                <w:sz w:val="16"/>
                <w:szCs w:val="16"/>
              </w:rPr>
              <w:t xml:space="preserve"> med JA</w:t>
            </w:r>
            <w:r w:rsidRPr="00E848D2">
              <w:rPr>
                <w:rFonts w:ascii="Arial" w:hAnsi="Arial" w:cs="Arial"/>
                <w:sz w:val="16"/>
                <w:szCs w:val="16"/>
              </w:rPr>
              <w:t xml:space="preserve"> betraktas mottagaren eller slutanvändaren som ägd eller kontrollerad. Motivera nedan om uppfattningen är att</w:t>
            </w:r>
            <w:r w:rsidR="00345DDF">
              <w:rPr>
                <w:rFonts w:ascii="Arial" w:hAnsi="Arial" w:cs="Arial"/>
                <w:sz w:val="16"/>
                <w:szCs w:val="16"/>
              </w:rPr>
              <w:t xml:space="preserve"> exporten ändå inte innebär ett indirekt tillgängliggörande</w:t>
            </w:r>
            <w:r w:rsidRPr="00E848D2">
              <w:rPr>
                <w:rFonts w:ascii="Arial" w:hAnsi="Arial" w:cs="Arial"/>
                <w:sz w:val="16"/>
                <w:szCs w:val="16"/>
              </w:rPr>
              <w:t>.</w:t>
            </w:r>
            <w:r w:rsidR="00947EAD" w:rsidRPr="00E84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48D2">
              <w:rPr>
                <w:rFonts w:ascii="Arial" w:hAnsi="Arial" w:cs="Arial"/>
                <w:sz w:val="16"/>
                <w:szCs w:val="16"/>
              </w:rPr>
              <w:t xml:space="preserve">Bedöm enligt </w:t>
            </w:r>
            <w:r w:rsidR="004F303B">
              <w:rPr>
                <w:rFonts w:ascii="Arial" w:hAnsi="Arial" w:cs="Arial"/>
                <w:sz w:val="16"/>
                <w:szCs w:val="16"/>
              </w:rPr>
              <w:t>EU:s Best Practices</w:t>
            </w:r>
            <w:r w:rsidRPr="00E848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12DD0" w:rsidRPr="00FA0579" w:rsidTr="00A12DD0">
        <w:trPr>
          <w:cantSplit/>
          <w:trHeight w:val="713"/>
        </w:trPr>
        <w:tc>
          <w:tcPr>
            <w:tcW w:w="419" w:type="dxa"/>
            <w:tcBorders>
              <w:left w:val="single" w:sz="4" w:space="0" w:color="auto"/>
              <w:bottom w:val="single" w:sz="6" w:space="0" w:color="auto"/>
            </w:tcBorders>
          </w:tcPr>
          <w:p w:rsidR="00A12DD0" w:rsidRPr="00FA0579" w:rsidRDefault="00A12DD0">
            <w:pPr>
              <w:rPr>
                <w:rFonts w:ascii="Arial" w:hAnsi="Arial" w:cs="Arial"/>
              </w:rPr>
            </w:pPr>
          </w:p>
        </w:tc>
        <w:tc>
          <w:tcPr>
            <w:tcW w:w="10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DD0" w:rsidRPr="00947EAD" w:rsidRDefault="007947C3" w:rsidP="00A12DD0">
            <w:pPr>
              <w:pStyle w:val="Allmntstyckeforma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MOTIVERING HÄR</w:t>
            </w:r>
          </w:p>
        </w:tc>
      </w:tr>
    </w:tbl>
    <w:p w:rsidR="00D75151" w:rsidRPr="00FA0579" w:rsidRDefault="00D75151">
      <w:pPr>
        <w:rPr>
          <w:rFonts w:ascii="Arial" w:hAnsi="Arial" w:cs="Arial"/>
        </w:rPr>
      </w:pPr>
    </w:p>
    <w:p w:rsidR="00D75151" w:rsidRPr="00FA0579" w:rsidRDefault="00D75151">
      <w:pPr>
        <w:rPr>
          <w:rFonts w:ascii="Arial" w:hAnsi="Arial" w:cs="Arial"/>
        </w:rPr>
      </w:pPr>
    </w:p>
    <w:p w:rsidR="00D75151" w:rsidRDefault="00D75151"/>
    <w:sectPr w:rsidR="00D75151">
      <w:footerReference w:type="default" r:id="rId6"/>
      <w:pgSz w:w="11907" w:h="16840"/>
      <w:pgMar w:top="426" w:right="1418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9D" w:rsidRDefault="00153B9D" w:rsidP="00153B9D">
      <w:r>
        <w:separator/>
      </w:r>
    </w:p>
  </w:endnote>
  <w:endnote w:type="continuationSeparator" w:id="0">
    <w:p w:rsidR="00153B9D" w:rsidRDefault="00153B9D" w:rsidP="0015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9D" w:rsidRDefault="00153B9D" w:rsidP="00153B9D">
    <w:pPr>
      <w:pStyle w:val="Sidfot"/>
      <w:jc w:val="right"/>
    </w:pPr>
    <w:r>
      <w:rPr>
        <w:rFonts w:ascii="Arial" w:hAnsi="Arial" w:cs="Arial"/>
        <w:color w:val="A6A6A6" w:themeColor="background1" w:themeShade="A6"/>
        <w:sz w:val="14"/>
        <w:szCs w:val="16"/>
      </w:rPr>
      <w:t>ISP-blankett-SAN-201111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9D" w:rsidRDefault="00153B9D" w:rsidP="00153B9D">
      <w:r>
        <w:separator/>
      </w:r>
    </w:p>
  </w:footnote>
  <w:footnote w:type="continuationSeparator" w:id="0">
    <w:p w:rsidR="00153B9D" w:rsidRDefault="00153B9D" w:rsidP="0015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8"/>
    <w:rsid w:val="00153B9D"/>
    <w:rsid w:val="00225CD4"/>
    <w:rsid w:val="002B7629"/>
    <w:rsid w:val="003315A8"/>
    <w:rsid w:val="00345DDF"/>
    <w:rsid w:val="004F303B"/>
    <w:rsid w:val="00615B76"/>
    <w:rsid w:val="00772BA4"/>
    <w:rsid w:val="007947C3"/>
    <w:rsid w:val="008B0CF9"/>
    <w:rsid w:val="00947EAD"/>
    <w:rsid w:val="009529F9"/>
    <w:rsid w:val="00953068"/>
    <w:rsid w:val="00A12DD0"/>
    <w:rsid w:val="00A61697"/>
    <w:rsid w:val="00A954D3"/>
    <w:rsid w:val="00B46339"/>
    <w:rsid w:val="00BB1C7B"/>
    <w:rsid w:val="00C40135"/>
    <w:rsid w:val="00D75151"/>
    <w:rsid w:val="00DF33DC"/>
    <w:rsid w:val="00E848D2"/>
    <w:rsid w:val="00F6315B"/>
    <w:rsid w:val="00FA0579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2E8F"/>
  <w15:chartTrackingRefBased/>
  <w15:docId w15:val="{33732779-D799-4E8C-9313-719F6013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A12DD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53B9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3B9D"/>
  </w:style>
  <w:style w:type="paragraph" w:styleId="Sidfot">
    <w:name w:val="footer"/>
    <w:basedOn w:val="Normal"/>
    <w:link w:val="SidfotChar"/>
    <w:uiPriority w:val="99"/>
    <w:unhideWhenUsed/>
    <w:rsid w:val="00153B9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</vt:lpstr>
      <vt:lpstr>EXPORT AV PRODUKTER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</dc:title>
  <dc:subject/>
  <dc:creator>Ulrika Jansson</dc:creator>
  <cp:keywords/>
  <cp:lastModifiedBy>Sarah Pålvall</cp:lastModifiedBy>
  <cp:revision>6</cp:revision>
  <dcterms:created xsi:type="dcterms:W3CDTF">2020-11-03T14:05:00Z</dcterms:created>
  <dcterms:modified xsi:type="dcterms:W3CDTF">2020-11-11T11:09:00Z</dcterms:modified>
</cp:coreProperties>
</file>